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3"/>
        <w:gridCol w:w="5257"/>
        <w:gridCol w:w="1605"/>
      </w:tblGrid>
      <w:tr w:rsidR="00F80F02" w:rsidRPr="00F80F02" w:rsidTr="00F80F02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F80F02" w:rsidRPr="00F80F02" w:rsidRDefault="00F80F02" w:rsidP="00F80F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br/>
              <w:t>15.12.2011</w:t>
            </w:r>
          </w:p>
        </w:tc>
      </w:tr>
      <w:tr w:rsidR="00F80F02" w:rsidRPr="00F80F02" w:rsidTr="00F80F02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F80F02" w:rsidRPr="00F80F02" w:rsidRDefault="00F80F02" w:rsidP="00F80F02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F80F02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Луя</w:t>
            </w:r>
            <w:proofErr w:type="spellEnd"/>
            <w:r w:rsidRPr="00F80F02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универсальная грунтовка</w:t>
            </w:r>
          </w:p>
        </w:tc>
        <w:tc>
          <w:tcPr>
            <w:tcW w:w="0" w:type="auto"/>
            <w:vMerge w:val="restart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Луя универсальная грунтовка">
                    <a:hlinkClick xmlns:a="http://schemas.openxmlformats.org/drawingml/2006/main" r:id="rId4" tooltip="&quot;Луя универсальная грунтовка (jpg) (20.4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уя универсальная грунтовка">
                            <a:hlinkClick r:id="rId4" tooltip="&quot;Луя универсальная грунтовка (jpg) (20.4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Луя универсальная грунтовка (jpg) (20.4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Луя универсальная грунтовка (jpg) (20.4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Луя универсальная грунтовка (jpg) (20.4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80F02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F80F02" w:rsidRPr="00F80F02" w:rsidTr="00F80F02">
        <w:trPr>
          <w:tblCellSpacing w:w="15" w:type="dxa"/>
          <w:jc w:val="center"/>
        </w:trPr>
        <w:tc>
          <w:tcPr>
            <w:tcW w:w="0" w:type="auto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80F02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Акрилатная</w:t>
            </w:r>
            <w:proofErr w:type="spellEnd"/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 xml:space="preserve"> грунтовка. Входящая в состав грунтовки </w:t>
            </w:r>
            <w:proofErr w:type="spellStart"/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противоплесневая</w:t>
            </w:r>
            <w:proofErr w:type="spellEnd"/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добавка защищает лакокрасочное покрытие.</w:t>
            </w:r>
          </w:p>
        </w:tc>
        <w:tc>
          <w:tcPr>
            <w:tcW w:w="0" w:type="auto"/>
            <w:vMerge/>
            <w:vAlign w:val="center"/>
            <w:hideMark/>
          </w:tcPr>
          <w:p w:rsidR="00F80F02" w:rsidRPr="00F80F02" w:rsidRDefault="00F80F02" w:rsidP="00F80F0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80F02" w:rsidRPr="00F80F02" w:rsidTr="00F80F02">
        <w:trPr>
          <w:tblCellSpacing w:w="15" w:type="dxa"/>
          <w:jc w:val="center"/>
        </w:trPr>
        <w:tc>
          <w:tcPr>
            <w:tcW w:w="0" w:type="auto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80F02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Предназначена</w:t>
            </w:r>
            <w:proofErr w:type="gramEnd"/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грунтовки бетонных, оштукатуренных, зашпатлеванных, кирпичных и картонных поверхностей, а также древесностружечных и древесноволокнистых плит. Подходит для новых, а также ранее окрашенных поверхностей. Обладает хорошей адгезией к чистым поверхностям, окрашенным ранее латексными, алкидными, эпоксидными или каталитическими красками. </w:t>
            </w:r>
          </w:p>
        </w:tc>
        <w:tc>
          <w:tcPr>
            <w:tcW w:w="0" w:type="auto"/>
            <w:vMerge/>
            <w:vAlign w:val="center"/>
            <w:hideMark/>
          </w:tcPr>
          <w:p w:rsidR="00F80F02" w:rsidRPr="00F80F02" w:rsidRDefault="00F80F02" w:rsidP="00F80F0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80F02" w:rsidRPr="00F80F02" w:rsidTr="00F80F02">
        <w:trPr>
          <w:tblCellSpacing w:w="15" w:type="dxa"/>
          <w:jc w:val="center"/>
        </w:trPr>
        <w:tc>
          <w:tcPr>
            <w:tcW w:w="0" w:type="auto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80F02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грунтовки стен и потолков внутренних помещений. Подходит в качестве грунтовки под краску "</w:t>
            </w:r>
            <w:proofErr w:type="spellStart"/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Луя</w:t>
            </w:r>
            <w:proofErr w:type="spellEnd"/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 xml:space="preserve">", а также под </w:t>
            </w:r>
            <w:proofErr w:type="spellStart"/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акрилатные</w:t>
            </w:r>
            <w:proofErr w:type="spellEnd"/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 xml:space="preserve"> краски </w:t>
            </w:r>
            <w:proofErr w:type="spellStart"/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Tikkurila</w:t>
            </w:r>
            <w:proofErr w:type="spellEnd"/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поверхностей внутренних помещений. Не является компонентом влагоизоляционной системы "</w:t>
            </w:r>
            <w:proofErr w:type="spellStart"/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Луя</w:t>
            </w:r>
            <w:proofErr w:type="spellEnd"/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"!</w:t>
            </w:r>
          </w:p>
        </w:tc>
        <w:tc>
          <w:tcPr>
            <w:tcW w:w="0" w:type="auto"/>
            <w:vMerge/>
            <w:vAlign w:val="center"/>
            <w:hideMark/>
          </w:tcPr>
          <w:p w:rsidR="00F80F02" w:rsidRPr="00F80F02" w:rsidRDefault="00F80F02" w:rsidP="00F80F0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80F02" w:rsidRPr="00F80F02" w:rsidTr="00F80F02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F80F02" w:rsidRPr="00F80F02" w:rsidTr="00F80F02">
        <w:trPr>
          <w:tblCellSpacing w:w="15" w:type="dxa"/>
          <w:jc w:val="center"/>
        </w:trPr>
        <w:tc>
          <w:tcPr>
            <w:tcW w:w="0" w:type="auto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80F02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F80F02" w:rsidRPr="00F80F02" w:rsidRDefault="00F80F02" w:rsidP="00F8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0F02" w:rsidRPr="00F80F02" w:rsidRDefault="00F80F02" w:rsidP="00F8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F02" w:rsidRPr="00F80F02" w:rsidTr="00F80F02">
        <w:trPr>
          <w:tblCellSpacing w:w="15" w:type="dxa"/>
          <w:jc w:val="center"/>
        </w:trPr>
        <w:tc>
          <w:tcPr>
            <w:tcW w:w="0" w:type="auto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ЛКМ для внутренних стен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КМ для внутренних стен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ЛКМ для пол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КМ для пол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6" name="Рисунок 6" descr="Совершенно мато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овершенно мато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Наносить валико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аносить валико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0" name="Рисунок 10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1" name="Рисунок 11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F02" w:rsidRPr="00F80F02" w:rsidRDefault="00F80F02" w:rsidP="00F80F02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F80F02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5</w:t>
            </w:r>
          </w:p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2" name="Рисунок 12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F02" w:rsidRPr="00F80F02" w:rsidRDefault="00F80F02" w:rsidP="00F80F02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F80F02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10</w:t>
            </w:r>
          </w:p>
        </w:tc>
      </w:tr>
      <w:tr w:rsidR="00F80F02" w:rsidRPr="00F80F02" w:rsidTr="00F80F02">
        <w:trPr>
          <w:tblCellSpacing w:w="15" w:type="dxa"/>
          <w:jc w:val="center"/>
        </w:trPr>
        <w:tc>
          <w:tcPr>
            <w:tcW w:w="0" w:type="auto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</w:p>
        </w:tc>
        <w:tc>
          <w:tcPr>
            <w:tcW w:w="0" w:type="auto"/>
            <w:gridSpan w:val="2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AP</w:t>
            </w:r>
          </w:p>
        </w:tc>
      </w:tr>
      <w:tr w:rsidR="00F80F02" w:rsidRPr="00F80F02" w:rsidTr="00F80F02">
        <w:trPr>
          <w:tblCellSpacing w:w="15" w:type="dxa"/>
          <w:jc w:val="center"/>
        </w:trPr>
        <w:tc>
          <w:tcPr>
            <w:tcW w:w="0" w:type="auto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Белый. Можно колеровать в светлые цвета гаммы «</w:t>
            </w:r>
            <w:proofErr w:type="spellStart"/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Тиккурила</w:t>
            </w:r>
            <w:proofErr w:type="spellEnd"/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 xml:space="preserve"> Симфония». При колеровке применять только половину от указанного в рецептуре объема пигментных паст. Могут быть незначительные отклонения по цвету от эталона.</w:t>
            </w:r>
          </w:p>
        </w:tc>
      </w:tr>
      <w:tr w:rsidR="00F80F02" w:rsidRPr="00F80F02" w:rsidTr="00F80F02">
        <w:trPr>
          <w:tblCellSpacing w:w="15" w:type="dxa"/>
          <w:jc w:val="center"/>
        </w:trPr>
        <w:tc>
          <w:tcPr>
            <w:tcW w:w="0" w:type="auto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Глубокоматовый</w:t>
            </w:r>
            <w:proofErr w:type="spellEnd"/>
          </w:p>
        </w:tc>
      </w:tr>
      <w:tr w:rsidR="00F80F02" w:rsidRPr="00F80F02" w:rsidTr="00F80F02">
        <w:trPr>
          <w:tblCellSpacing w:w="15" w:type="dxa"/>
          <w:jc w:val="center"/>
        </w:trPr>
        <w:tc>
          <w:tcPr>
            <w:tcW w:w="0" w:type="auto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Класс эмиссии строительного материала</w:t>
            </w:r>
          </w:p>
        </w:tc>
        <w:tc>
          <w:tcPr>
            <w:tcW w:w="0" w:type="auto"/>
            <w:gridSpan w:val="2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M1</w:t>
            </w:r>
          </w:p>
        </w:tc>
      </w:tr>
      <w:tr w:rsidR="00F80F02" w:rsidRPr="00F80F02" w:rsidTr="00F80F02">
        <w:trPr>
          <w:tblCellSpacing w:w="15" w:type="dxa"/>
          <w:jc w:val="center"/>
        </w:trPr>
        <w:tc>
          <w:tcPr>
            <w:tcW w:w="0" w:type="auto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F80F02" w:rsidRPr="00F80F02" w:rsidRDefault="00F80F02" w:rsidP="00F80F02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 xml:space="preserve">На </w:t>
            </w:r>
            <w:proofErr w:type="spellStart"/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невпитывающие</w:t>
            </w:r>
            <w:proofErr w:type="spellEnd"/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поверхности – 7-10 м²/ л.</w:t>
            </w:r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br/>
              <w:t>На впитывающие поверхности – 5-8 м²/ л.</w:t>
            </w:r>
          </w:p>
        </w:tc>
      </w:tr>
      <w:tr w:rsidR="00F80F02" w:rsidRPr="00F80F02" w:rsidTr="00F80F02">
        <w:trPr>
          <w:tblCellSpacing w:w="15" w:type="dxa"/>
          <w:jc w:val="center"/>
        </w:trPr>
        <w:tc>
          <w:tcPr>
            <w:tcW w:w="0" w:type="auto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0,9 л, 2,7 л, 9 л и 18 л.</w:t>
            </w:r>
          </w:p>
        </w:tc>
      </w:tr>
      <w:tr w:rsidR="00F80F02" w:rsidRPr="00F80F02" w:rsidTr="00F80F02">
        <w:trPr>
          <w:tblCellSpacing w:w="15" w:type="dxa"/>
          <w:jc w:val="center"/>
        </w:trPr>
        <w:tc>
          <w:tcPr>
            <w:tcW w:w="0" w:type="auto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F80F02" w:rsidRPr="00F80F02" w:rsidTr="00F80F02">
        <w:trPr>
          <w:tblCellSpacing w:w="15" w:type="dxa"/>
          <w:jc w:val="center"/>
        </w:trPr>
        <w:tc>
          <w:tcPr>
            <w:tcW w:w="0" w:type="auto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Наносится валиком, кистью или распылением под высоким давлением. При распылении под высоким давлением применять сопло 0,015"-0,021". Допускается разбавлять до 10 % по объему.</w:t>
            </w:r>
          </w:p>
        </w:tc>
      </w:tr>
      <w:tr w:rsidR="00F80F02" w:rsidRPr="00F80F02" w:rsidTr="00F80F02">
        <w:trPr>
          <w:tblCellSpacing w:w="15" w:type="dxa"/>
          <w:jc w:val="center"/>
        </w:trPr>
        <w:tc>
          <w:tcPr>
            <w:tcW w:w="0" w:type="auto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На</w:t>
            </w:r>
            <w:proofErr w:type="gramEnd"/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 xml:space="preserve"> отлип – 30 минут.</w:t>
            </w:r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br/>
              <w:t>Окраску можно производить через 2 часа.</w:t>
            </w:r>
          </w:p>
        </w:tc>
      </w:tr>
      <w:tr w:rsidR="00F80F02" w:rsidRPr="00F80F02" w:rsidTr="00F80F02">
        <w:trPr>
          <w:tblCellSpacing w:w="15" w:type="dxa"/>
          <w:jc w:val="center"/>
        </w:trPr>
        <w:tc>
          <w:tcPr>
            <w:tcW w:w="0" w:type="auto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Стойкость к мытью</w:t>
            </w:r>
          </w:p>
        </w:tc>
        <w:tc>
          <w:tcPr>
            <w:tcW w:w="0" w:type="auto"/>
            <w:gridSpan w:val="2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Выдерживает более 5000 проходов щеткой.</w:t>
            </w:r>
          </w:p>
        </w:tc>
      </w:tr>
      <w:tr w:rsidR="00F80F02" w:rsidRPr="00F80F02" w:rsidTr="00F80F02">
        <w:trPr>
          <w:tblCellSpacing w:w="15" w:type="dxa"/>
          <w:jc w:val="center"/>
        </w:trPr>
        <w:tc>
          <w:tcPr>
            <w:tcW w:w="0" w:type="auto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Стойкость к химикатам</w:t>
            </w:r>
          </w:p>
        </w:tc>
        <w:tc>
          <w:tcPr>
            <w:tcW w:w="0" w:type="auto"/>
            <w:gridSpan w:val="2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Устойчива</w:t>
            </w:r>
            <w:proofErr w:type="gramEnd"/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 xml:space="preserve"> к очищающим химикатам и слабым растворителям, например к </w:t>
            </w:r>
            <w:proofErr w:type="spellStart"/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уайт-спириту</w:t>
            </w:r>
            <w:proofErr w:type="spellEnd"/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  <w:tr w:rsidR="00F80F02" w:rsidRPr="00F80F02" w:rsidTr="00F80F02">
        <w:trPr>
          <w:tblCellSpacing w:w="15" w:type="dxa"/>
          <w:jc w:val="center"/>
        </w:trPr>
        <w:tc>
          <w:tcPr>
            <w:tcW w:w="0" w:type="auto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Термостойкость</w:t>
            </w:r>
          </w:p>
        </w:tc>
        <w:tc>
          <w:tcPr>
            <w:tcW w:w="0" w:type="auto"/>
            <w:gridSpan w:val="2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85 ºC.</w:t>
            </w:r>
          </w:p>
        </w:tc>
      </w:tr>
      <w:tr w:rsidR="00F80F02" w:rsidRPr="00F80F02" w:rsidTr="00F80F02">
        <w:trPr>
          <w:tblCellSpacing w:w="15" w:type="dxa"/>
          <w:jc w:val="center"/>
        </w:trPr>
        <w:tc>
          <w:tcPr>
            <w:tcW w:w="0" w:type="auto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Стойкость к мокрому трению</w:t>
            </w:r>
          </w:p>
        </w:tc>
        <w:tc>
          <w:tcPr>
            <w:tcW w:w="0" w:type="auto"/>
            <w:gridSpan w:val="2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Класс 2 по ISO 11998.</w:t>
            </w:r>
          </w:p>
        </w:tc>
      </w:tr>
      <w:tr w:rsidR="00F80F02" w:rsidRPr="00F80F02" w:rsidTr="00F80F02">
        <w:trPr>
          <w:tblCellSpacing w:w="15" w:type="dxa"/>
          <w:jc w:val="center"/>
        </w:trPr>
        <w:tc>
          <w:tcPr>
            <w:tcW w:w="0" w:type="auto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36 %.</w:t>
            </w:r>
          </w:p>
        </w:tc>
      </w:tr>
      <w:tr w:rsidR="00F80F02" w:rsidRPr="00F80F02" w:rsidTr="00F80F02">
        <w:trPr>
          <w:tblCellSpacing w:w="15" w:type="dxa"/>
          <w:jc w:val="center"/>
        </w:trPr>
        <w:tc>
          <w:tcPr>
            <w:tcW w:w="0" w:type="auto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1,4 кг/л.</w:t>
            </w:r>
          </w:p>
        </w:tc>
      </w:tr>
      <w:tr w:rsidR="00F80F02" w:rsidRPr="00F80F02" w:rsidTr="00F80F02">
        <w:trPr>
          <w:tblCellSpacing w:w="15" w:type="dxa"/>
          <w:jc w:val="center"/>
        </w:trPr>
        <w:tc>
          <w:tcPr>
            <w:tcW w:w="0" w:type="auto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мороза.</w:t>
            </w:r>
          </w:p>
        </w:tc>
      </w:tr>
      <w:tr w:rsidR="00F80F02" w:rsidRPr="00F80F02" w:rsidTr="00F80F02">
        <w:trPr>
          <w:tblCellSpacing w:w="15" w:type="dxa"/>
          <w:jc w:val="center"/>
        </w:trPr>
        <w:tc>
          <w:tcPr>
            <w:tcW w:w="0" w:type="auto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219 0201</w:t>
            </w:r>
          </w:p>
        </w:tc>
      </w:tr>
      <w:tr w:rsidR="00F80F02" w:rsidRPr="00F80F02" w:rsidTr="00F80F02">
        <w:trPr>
          <w:tblCellSpacing w:w="15" w:type="dxa"/>
          <w:jc w:val="center"/>
        </w:trPr>
        <w:tc>
          <w:tcPr>
            <w:tcW w:w="0" w:type="auto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7" w:tgtFrame="_blank" w:tooltip="Свидетельство о государственной регистрации (pdf) (183.5 KB)" w:history="1">
              <w:r w:rsidRPr="00F80F02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F80F02" w:rsidRPr="00F80F02" w:rsidTr="00F80F02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F80F02" w:rsidRPr="00F80F02" w:rsidTr="00F80F02">
        <w:trPr>
          <w:tblCellSpacing w:w="15" w:type="dxa"/>
          <w:jc w:val="center"/>
        </w:trPr>
        <w:tc>
          <w:tcPr>
            <w:tcW w:w="0" w:type="auto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80F02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F80F02" w:rsidRPr="00F80F02" w:rsidRDefault="00F80F02" w:rsidP="00F8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80F02" w:rsidRPr="00F80F02" w:rsidRDefault="00F80F02" w:rsidP="00F8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F02" w:rsidRPr="00F80F02" w:rsidTr="00F80F02">
        <w:trPr>
          <w:tblCellSpacing w:w="15" w:type="dxa"/>
          <w:jc w:val="center"/>
        </w:trPr>
        <w:tc>
          <w:tcPr>
            <w:tcW w:w="0" w:type="auto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Грунтуемая поверхность должна быть сухой, температура воздуха не ниже +5</w:t>
            </w:r>
            <w:proofErr w:type="gramStart"/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относительная влажность воздуха – не выше 80 %.</w:t>
            </w:r>
          </w:p>
        </w:tc>
      </w:tr>
      <w:tr w:rsidR="00F80F02" w:rsidRPr="00F80F02" w:rsidTr="00F80F02">
        <w:trPr>
          <w:tblCellSpacing w:w="15" w:type="dxa"/>
          <w:jc w:val="center"/>
        </w:trPr>
        <w:tc>
          <w:tcPr>
            <w:tcW w:w="0" w:type="auto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Неокрашенная поверхность: </w:t>
            </w:r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br/>
              <w:t>Очистить поверхность от пыли и грязи. Загрунтовать универсальной грунтовкой "</w:t>
            </w:r>
            <w:proofErr w:type="spellStart"/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Луя</w:t>
            </w:r>
            <w:proofErr w:type="spellEnd"/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 xml:space="preserve">". При необходимости, выровнять поверхность подходящей шпатлевкой серии "Престо". </w:t>
            </w:r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br/>
              <w:t>Окраску можно производить, например, покрывными красками "</w:t>
            </w:r>
            <w:proofErr w:type="spellStart"/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Луя</w:t>
            </w:r>
            <w:proofErr w:type="spellEnd"/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", "</w:t>
            </w:r>
            <w:proofErr w:type="spellStart"/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Ремонтти-Ясся</w:t>
            </w:r>
            <w:proofErr w:type="spellEnd"/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" или "</w:t>
            </w:r>
            <w:proofErr w:type="spellStart"/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Яссяпласт</w:t>
            </w:r>
            <w:proofErr w:type="spellEnd"/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 xml:space="preserve">". </w:t>
            </w:r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Окрашенная поверхность: </w:t>
            </w:r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br/>
              <w:t>Поверхность вымыть моющим средством "</w:t>
            </w:r>
            <w:proofErr w:type="spellStart"/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", затем тщательно промыть чистой водой. Неровности выправить подходящей шпатлевкой серии "Престо", высохшую поверхность отшлифовать. Пыль от шлифовки удалить.</w:t>
            </w:r>
          </w:p>
        </w:tc>
      </w:tr>
      <w:tr w:rsidR="00F80F02" w:rsidRPr="00F80F02" w:rsidTr="00F80F02">
        <w:trPr>
          <w:tblCellSpacing w:w="15" w:type="dxa"/>
          <w:jc w:val="center"/>
        </w:trPr>
        <w:tc>
          <w:tcPr>
            <w:tcW w:w="0" w:type="auto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Грунтование</w:t>
            </w:r>
          </w:p>
        </w:tc>
        <w:tc>
          <w:tcPr>
            <w:tcW w:w="0" w:type="auto"/>
            <w:gridSpan w:val="2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 xml:space="preserve">Перед применением грунтовку тщательно перемешать. При необходимости, разбавить водой. Наносить </w:t>
            </w:r>
            <w:proofErr w:type="spellStart"/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грунтову</w:t>
            </w:r>
            <w:proofErr w:type="spellEnd"/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 xml:space="preserve"> валиком, кистью или распылением.</w:t>
            </w:r>
          </w:p>
        </w:tc>
      </w:tr>
      <w:tr w:rsidR="00F80F02" w:rsidRPr="00F80F02" w:rsidTr="00F80F02">
        <w:trPr>
          <w:tblCellSpacing w:w="15" w:type="dxa"/>
          <w:jc w:val="center"/>
        </w:trPr>
        <w:tc>
          <w:tcPr>
            <w:tcW w:w="0" w:type="auto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Рабочие инструменты вымыть водой. Для удаления слегка затвердевшей краски с инструмента рекомендуется использовать моющее средство для кистей "</w:t>
            </w:r>
            <w:proofErr w:type="spellStart"/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F80F02" w:rsidRPr="00F80F02" w:rsidTr="00F80F02">
        <w:trPr>
          <w:tblCellSpacing w:w="15" w:type="dxa"/>
          <w:jc w:val="center"/>
        </w:trPr>
        <w:tc>
          <w:tcPr>
            <w:tcW w:w="0" w:type="auto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При необходимости, не ранее, чем через 1 месяц после окраски. Загрязнения на поверхности можно очищать смоченной в нейтральном моющем растворе (</w:t>
            </w:r>
            <w:proofErr w:type="spellStart"/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рН</w:t>
            </w:r>
            <w:proofErr w:type="spellEnd"/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 xml:space="preserve"> 6–8) и отжатой тканью или губкой. Придерживаться инструкций производителя моющего средства. После очистки поверхность не должна оставаться мокрой. </w:t>
            </w:r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br/>
              <w:t>После окраски необходимо осторожно обращаться с поверхностью в течение нескольких недель, так как она достигает своей окончательной твердости и износостойкости в течение, примерно, одного месяца после окраски. При необходимости, производить легкую очистку влажной тряпкой.</w:t>
            </w:r>
          </w:p>
        </w:tc>
      </w:tr>
      <w:tr w:rsidR="00F80F02" w:rsidRPr="00F80F02" w:rsidTr="00F80F02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F80F02" w:rsidRPr="00F80F02" w:rsidTr="00F80F02">
        <w:trPr>
          <w:tblCellSpacing w:w="15" w:type="dxa"/>
          <w:jc w:val="center"/>
        </w:trPr>
        <w:tc>
          <w:tcPr>
            <w:tcW w:w="0" w:type="auto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80F02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 xml:space="preserve">Продукт не классифицирован, как опасный. На продукт имеется паспорт техники </w:t>
            </w:r>
            <w:proofErr w:type="spellStart"/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8" w:tgtFrame="_blank" w:tooltip="Паспорт техники безопасности (pdf) (161.2 KB)" w:history="1">
              <w:r w:rsidRPr="00F80F02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F80F02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F80F02" w:rsidRPr="00F80F02" w:rsidTr="00F80F02">
        <w:trPr>
          <w:tblCellSpacing w:w="15" w:type="dxa"/>
          <w:jc w:val="center"/>
        </w:trPr>
        <w:tc>
          <w:tcPr>
            <w:tcW w:w="0" w:type="auto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F80F02" w:rsidRPr="00F80F02" w:rsidRDefault="00F80F02" w:rsidP="00F80F0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80F02" w:rsidRPr="00F80F02" w:rsidTr="00F80F02">
        <w:trPr>
          <w:tblCellSpacing w:w="15" w:type="dxa"/>
          <w:jc w:val="center"/>
        </w:trPr>
        <w:tc>
          <w:tcPr>
            <w:tcW w:w="0" w:type="auto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80F02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 xml:space="preserve">Жидкие остатки передать </w:t>
            </w:r>
            <w:proofErr w:type="gramStart"/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вывезти на свалку – соблюдать местное законодательство. </w:t>
            </w:r>
          </w:p>
        </w:tc>
      </w:tr>
      <w:tr w:rsidR="00F80F02" w:rsidRPr="00F80F02" w:rsidTr="00F80F02">
        <w:trPr>
          <w:tblCellSpacing w:w="15" w:type="dxa"/>
          <w:jc w:val="center"/>
        </w:trPr>
        <w:tc>
          <w:tcPr>
            <w:tcW w:w="0" w:type="auto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80F02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80F02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  <w:tr w:rsidR="00F80F02" w:rsidRPr="00F80F02" w:rsidTr="00F80F02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F80F02" w:rsidRPr="00F80F02" w:rsidRDefault="00F80F02" w:rsidP="00F80F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5E2097" w:rsidRDefault="005E2097"/>
    <w:sectPr w:rsidR="005E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F02"/>
    <w:rsid w:val="005E2097"/>
    <w:rsid w:val="00F8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0F0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8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2813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9285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9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31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276806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2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020944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5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hyperlink" Target="http://www.tikkurila.ru/files/2793/LUJA_UNIVERSAL_PRIMER_219_MSDS_RUS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http://www.tikkurila.ru/files/4802/Luja_ynivers_grynt_AR.PD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3558/Luja_Yleispohjamaali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hyperlink" Target="http://www.tikkurila.ru/files/3558/Luja_Yleispohjamaali.jpg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3812</Characters>
  <Application>Microsoft Office Word</Application>
  <DocSecurity>0</DocSecurity>
  <Lines>31</Lines>
  <Paragraphs>8</Paragraphs>
  <ScaleCrop>false</ScaleCrop>
  <Company>ООО "БалтМостПроект"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2012-07-09T08:35:00Z</dcterms:created>
  <dcterms:modified xsi:type="dcterms:W3CDTF">2012-07-09T08:35:00Z</dcterms:modified>
</cp:coreProperties>
</file>