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7"/>
        <w:gridCol w:w="4782"/>
        <w:gridCol w:w="2026"/>
      </w:tblGrid>
      <w:tr w:rsidR="00591615" w:rsidRPr="00591615" w:rsidTr="00591615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591615" w:rsidRPr="00591615" w:rsidRDefault="00591615" w:rsidP="0059161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br/>
              <w:t>24.08.2006</w:t>
            </w:r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591615" w:rsidRPr="00591615" w:rsidRDefault="00591615" w:rsidP="00591615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591615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Реафлекс</w:t>
            </w:r>
            <w:proofErr w:type="spellEnd"/>
            <w:r w:rsidRPr="00591615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50 - </w:t>
            </w:r>
            <w:proofErr w:type="spellStart"/>
            <w:r w:rsidRPr="00591615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Reaflex</w:t>
            </w:r>
            <w:proofErr w:type="spellEnd"/>
            <w:r w:rsidRPr="00591615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50</w:t>
            </w:r>
          </w:p>
        </w:tc>
        <w:tc>
          <w:tcPr>
            <w:tcW w:w="0" w:type="auto"/>
            <w:vMerge w:val="restart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Реафлекс 50">
                    <a:hlinkClick xmlns:a="http://schemas.openxmlformats.org/drawingml/2006/main" r:id="rId4" tooltip="&quot;Реафлекс 50 (jpg) (34.6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афлекс 50">
                            <a:hlinkClick r:id="rId4" tooltip="&quot;Реафлекс 50 (jpg) (34.6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Реафлекс 50 (jpg) (34.6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Реафлекс 50 (jpg) (34.6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Реафлекс 50 (jpg) (34.6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591615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Двухкомпонентная эпоксидная краска.</w:t>
            </w:r>
          </w:p>
        </w:tc>
        <w:tc>
          <w:tcPr>
            <w:tcW w:w="0" w:type="auto"/>
            <w:vMerge/>
            <w:vAlign w:val="center"/>
            <w:hideMark/>
          </w:tcPr>
          <w:p w:rsidR="00591615" w:rsidRPr="00591615" w:rsidRDefault="00591615" w:rsidP="005916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эмалированных ванн и бетонных плавательных бассейнов.</w:t>
            </w:r>
          </w:p>
        </w:tc>
        <w:tc>
          <w:tcPr>
            <w:tcW w:w="0" w:type="auto"/>
            <w:vMerge/>
            <w:vAlign w:val="center"/>
            <w:hideMark/>
          </w:tcPr>
          <w:p w:rsidR="00591615" w:rsidRPr="00591615" w:rsidRDefault="00591615" w:rsidP="005916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эмалированных ванн и бетонных плавательных бассейнов.</w:t>
            </w:r>
          </w:p>
        </w:tc>
        <w:tc>
          <w:tcPr>
            <w:tcW w:w="0" w:type="auto"/>
            <w:vMerge/>
            <w:vAlign w:val="center"/>
            <w:hideMark/>
          </w:tcPr>
          <w:p w:rsidR="00591615" w:rsidRPr="00591615" w:rsidRDefault="00591615" w:rsidP="005916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591615" w:rsidRPr="00591615" w:rsidRDefault="00591615" w:rsidP="0059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1615" w:rsidRPr="00591615" w:rsidRDefault="00591615" w:rsidP="0059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4" name="Рисунок 4" descr="Высокоглянце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ысокоглянце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Орган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рган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615" w:rsidRPr="00591615" w:rsidRDefault="00591615" w:rsidP="0059161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591615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5</w:t>
            </w:r>
          </w:p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615" w:rsidRPr="00591615" w:rsidRDefault="00591615" w:rsidP="00591615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591615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10</w:t>
            </w:r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 xml:space="preserve">Белый 0201 (код 930 1512) и Лагуна Н034 (код 930 1513). </w:t>
            </w: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br/>
              <w:t>ВНИМАНИЕ! Эпоксидным краскам характерно пожелтение цвета со временем.</w:t>
            </w:r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Высокоглянцевая</w:t>
            </w:r>
            <w:proofErr w:type="spellEnd"/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На практический расход влияют пористость и ровность окрашиваемой поверхности, а также способ нанесения</w:t>
            </w:r>
            <w:proofErr w:type="gramStart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 xml:space="preserve"> .</w:t>
            </w:r>
            <w:proofErr w:type="gramEnd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br/>
              <w:t>Средний расход при грунтовке: 5-8 м2/л.</w:t>
            </w: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br/>
              <w:t>Средний расход при окраске: 8-10 м2/л.</w:t>
            </w:r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 xml:space="preserve">Краска по 1 л (сод. 0,8 л) </w:t>
            </w: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Отвердитель по 1/3 л (сод. 0,2 л).</w:t>
            </w:r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растворитель </w:t>
            </w:r>
            <w:proofErr w:type="spellStart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Новопокс</w:t>
            </w:r>
            <w:proofErr w:type="spellEnd"/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Соотношения смешивания</w:t>
            </w:r>
          </w:p>
        </w:tc>
        <w:tc>
          <w:tcPr>
            <w:tcW w:w="0" w:type="auto"/>
            <w:gridSpan w:val="2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 xml:space="preserve">4 части по объему краски. </w:t>
            </w: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br/>
              <w:t>1 часть по объему отвердителя (930 1514).</w:t>
            </w:r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кистью, валиком или распылением.</w:t>
            </w: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 нанесении распылением под высоким давлением применять сопло 0,011" – 0,017" и давление 120-160 бар. Разбавлять на  5-15% по объему.</w:t>
            </w:r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Жизнеспособность</w:t>
            </w:r>
          </w:p>
        </w:tc>
        <w:tc>
          <w:tcPr>
            <w:tcW w:w="0" w:type="auto"/>
            <w:gridSpan w:val="2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. 4 часов после смешивания компонентов.</w:t>
            </w:r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Время высыхания</w:t>
            </w:r>
          </w:p>
        </w:tc>
        <w:tc>
          <w:tcPr>
            <w:tcW w:w="0" w:type="auto"/>
            <w:gridSpan w:val="2"/>
            <w:hideMark/>
          </w:tcPr>
          <w:p w:rsidR="00591615" w:rsidRPr="00591615" w:rsidRDefault="00591615" w:rsidP="00591615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Время высыхания при +23</w:t>
            </w:r>
            <w:proofErr w:type="gramStart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:</w:t>
            </w: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От пыли – 1 час.</w:t>
            </w: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Следующий слой наносить через 8 часов – 2 суток.</w:t>
            </w: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Поверхность готова к эксплуатации через 7 суток.</w:t>
            </w:r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. 40% по объему.</w:t>
            </w:r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1,2 кг/л готовой к применению смеси.</w:t>
            </w:r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Выдерживает хранение и транспортировку при низких температурах.</w:t>
            </w:r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Сертификат соответствия</w:t>
            </w:r>
          </w:p>
        </w:tc>
        <w:tc>
          <w:tcPr>
            <w:tcW w:w="0" w:type="auto"/>
            <w:gridSpan w:val="2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tgtFrame="_blank" w:tooltip="Декларация о соответствии (pdf) (213.2 KB)" w:history="1">
              <w:r w:rsidRPr="0059161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Декларация о соответствии</w:t>
              </w:r>
            </w:hyperlink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tgtFrame="_blank" w:tooltip="Свидетельство о государственной регистрации (pdf) (1.2 MB)" w:history="1">
              <w:r w:rsidRPr="0059161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591615" w:rsidRPr="00591615" w:rsidRDefault="00591615" w:rsidP="0059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91615" w:rsidRPr="00591615" w:rsidRDefault="00591615" w:rsidP="00591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 xml:space="preserve">Бетонная поверхность должна быть сухой и выдержана мин. 4 недели перед покрытием. Относительная влажность бетона должна быть ниже 97%. При окрашивании и высыхании краски температура </w:t>
            </w: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воздуха, поверхности и краски должна быть выше +10</w:t>
            </w:r>
            <w:proofErr w:type="gramStart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менее 80%.</w:t>
            </w:r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 xml:space="preserve">Новые бетонные бассейны: </w:t>
            </w: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Удалить цементный клей с бетонной поверхности шлифованием, дробеструйной очисткой или протравливанием соляной кислотой. Способ очистки выбирается в зависимости от типа помещения. Цементную пыль тщательно удалить пылесосом. Протравливание производится разбавленной соляной кислотой (1 часть крепкой соляной кислоты на 4 части воды), работая снизу вверх. Протравленную поверхность обильно промыть водой и просушить. </w:t>
            </w: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Старые бетонные бассейны: </w:t>
            </w: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Поверхность очистить от пыли и посторонних включений. Химикаты, жир и прочие загрязнения удалить промывкой эмульсией. Старую отслаивающуюся л/</w:t>
            </w:r>
            <w:proofErr w:type="gramStart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к</w:t>
            </w:r>
            <w:proofErr w:type="gramEnd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пленку удалить шлифовкой или дробеструйной очисткой. Способ очистки выбирается в зависимости от типа помещения. Выбоины и впадины очистить до чистого бетона. Трещины расшить шлифовальной машиной и т.п. Посторонние включения и пыль удалить. </w:t>
            </w: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Эмалированные ванны: </w:t>
            </w: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Поверхность обезжирить и очистить от прочих загрязнений промывкой эмульсией. После очистки эмалированную поверхность отшлифовать до </w:t>
            </w:r>
            <w:proofErr w:type="gramStart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совершенно матового</w:t>
            </w:r>
            <w:proofErr w:type="gramEnd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состояния. Посторонние включения и пыль тщательно удалить.</w:t>
            </w:r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Грунтование</w:t>
            </w:r>
          </w:p>
        </w:tc>
        <w:tc>
          <w:tcPr>
            <w:tcW w:w="0" w:type="auto"/>
            <w:gridSpan w:val="2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Грунтовку произвести эпоксидной краской "</w:t>
            </w:r>
            <w:proofErr w:type="spellStart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Реафлекс</w:t>
            </w:r>
            <w:proofErr w:type="spellEnd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 xml:space="preserve"> 50", разбавленной на 20% растворителем "</w:t>
            </w:r>
            <w:proofErr w:type="spellStart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Новопокс</w:t>
            </w:r>
            <w:proofErr w:type="spellEnd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". В зависимости от окрашиваемой поверхности наносить либо мохеровым валиком с коротким ворсом, либо кистью.</w:t>
            </w:r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Заделка</w:t>
            </w:r>
          </w:p>
        </w:tc>
        <w:tc>
          <w:tcPr>
            <w:tcW w:w="0" w:type="auto"/>
            <w:gridSpan w:val="2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 xml:space="preserve">Ремонт бассейнов: </w:t>
            </w: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Выбоины, раскрытые трещины и впадины заделать смесью неразбавленного эпоксидного грунтовочного лака "</w:t>
            </w:r>
            <w:proofErr w:type="spellStart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Новопокс</w:t>
            </w:r>
            <w:proofErr w:type="spellEnd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gramStart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П</w:t>
            </w:r>
            <w:proofErr w:type="gramEnd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 xml:space="preserve">" с чистым, сухим песком. Размер зерна песка - 0,1-0,4 мм. Заделанные места отшлифовать до уровня окружающей поверхности, пыль тщательно удалить перед нанесением краски. </w:t>
            </w: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br/>
              <w:t>Внимание! Поверхность всегда грунтовать до ремонта!</w:t>
            </w:r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 xml:space="preserve">Окраска бассейнов: </w:t>
            </w: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Покрытие можно производить не раньше, чем через 8 часов после грунтования. Если грунтовка нанесена </w:t>
            </w:r>
            <w:proofErr w:type="gramStart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раньше</w:t>
            </w:r>
            <w:proofErr w:type="gramEnd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 xml:space="preserve"> чем 2 суток назад, загрунтованную поверхность отшлифовать до окраски. Краска наносить мохеровым валиком. Обычно достаточны 2 слоя нанесения. На пористые поверхности можно наносить 3-4 слоя до достижения вполне </w:t>
            </w:r>
            <w:proofErr w:type="spellStart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беспористой</w:t>
            </w:r>
            <w:proofErr w:type="spellEnd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поверхности. </w:t>
            </w: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Внимание! </w:t>
            </w:r>
            <w:proofErr w:type="gramStart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Края бассейнов шершавить после нанесения последнего слоя, насыпая на мокрую л/к пленку песок зернистостью 0,1-0,6 мм.</w:t>
            </w:r>
            <w:proofErr w:type="gramEnd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Окраска ванн: </w:t>
            </w: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Покрытие можно производить не раньше чем через 8 часов от грунтовки. Если грунтовка нанесена раньше, чем 2 суток назад, загрунтованную поверхность отшлифовать до окраски. Краску наносить кистью в два слоя.</w:t>
            </w:r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Смешивание компонентов</w:t>
            </w:r>
          </w:p>
        </w:tc>
        <w:tc>
          <w:tcPr>
            <w:tcW w:w="0" w:type="auto"/>
            <w:gridSpan w:val="2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 xml:space="preserve">Ввести отвердитель в краску и тщательно перемешать (рекомендуемое время смешивания 2-3 минуты). Неполное, нетщательное перемешивание может привести к неравномерности высыхания окрашиваемой поверхности, что в свою очередь повлияет на прочность образуемой лакокрасочной пленки. Дать смешанной краске простоять минут 10 до начала окраски. </w:t>
            </w: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br/>
              <w:t>ВНИМАНИЕ! Организовать эффективный воздухообмен при проведении окрасочных работ.</w:t>
            </w:r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 xml:space="preserve">Готовая к применению смесь содержит ксилол и </w:t>
            </w:r>
            <w:proofErr w:type="spellStart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полиаминаддукт</w:t>
            </w:r>
            <w:proofErr w:type="spellEnd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 xml:space="preserve">. ОГНЕОПАСНО. ВРЕДНО ДЛЯ ЗДОРОВЬЯ ПРИ ВДЫХАНИИ И ПОПАДАНИИ НА КОЖУ. РАЗДРАЖАЕТ КОЖУ. Избегать вдыхания паров </w:t>
            </w: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растворителей. Организовать эффективный воздухообмен или носить респиратор. Носить защитные перчатки, очки или маску. По краске имеется паспорт техники </w:t>
            </w:r>
            <w:proofErr w:type="spellStart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7" w:tgtFrame="_blank" w:tooltip="Паспорт техники безопасности (pdf) (253 KB)" w:history="1">
              <w:r w:rsidRPr="0059161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59161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</w:t>
              </w:r>
              <w:proofErr w:type="spellStart"/>
              <w:r w:rsidRPr="0059161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безопасности</w:t>
              </w:r>
            </w:hyperlink>
            <w:hyperlink r:id="rId18" w:tgtFrame="_blank" w:tooltip="Паспорт техники безопасности (pdf) (241.5 KB)" w:history="1">
              <w:r w:rsidRPr="0059161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591615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591615" w:rsidRPr="00591615" w:rsidRDefault="00591615" w:rsidP="00591615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b/>
                <w:bCs/>
                <w:sz w:val="18"/>
              </w:rPr>
              <w:lastRenderedPageBreak/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91615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</w:tr>
      <w:tr w:rsidR="00591615" w:rsidRPr="00591615" w:rsidTr="00591615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591615" w:rsidRPr="00591615" w:rsidRDefault="00591615" w:rsidP="005916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202F43" w:rsidRDefault="00202F43"/>
    <w:sectPr w:rsidR="0020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615"/>
    <w:rsid w:val="00202F43"/>
    <w:rsid w:val="0059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16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9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995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4199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3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91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03208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143190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2760/REAFLEX_50_HARDENER_930-1514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2779/REAFLEX_50_930-1512-1513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4836/reafleks_50_white_reafleks_50_laguna_reafleks_50_otverditel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5004/reaflex_50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4330/dekl4.pdf" TargetMode="External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hyperlink" Target="http://www.tikkurila.ru/files/5004/reaflex_50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5279</Characters>
  <Application>Microsoft Office Word</Application>
  <DocSecurity>0</DocSecurity>
  <Lines>43</Lines>
  <Paragraphs>12</Paragraphs>
  <ScaleCrop>false</ScaleCrop>
  <Company>ООО "БалтМостПроект"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2012-07-09T09:29:00Z</dcterms:created>
  <dcterms:modified xsi:type="dcterms:W3CDTF">2012-07-09T09:29:00Z</dcterms:modified>
</cp:coreProperties>
</file>