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9"/>
        <w:gridCol w:w="5149"/>
        <w:gridCol w:w="1657"/>
      </w:tblGrid>
      <w:tr w:rsidR="00206423" w:rsidRPr="00206423" w:rsidTr="00206423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206423" w:rsidRPr="00206423" w:rsidRDefault="00206423" w:rsidP="0020642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br/>
              <w:t>01.01.2012</w:t>
            </w:r>
          </w:p>
        </w:tc>
      </w:tr>
      <w:tr w:rsidR="00206423" w:rsidRPr="00206423" w:rsidTr="00206423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206423" w:rsidRPr="00206423" w:rsidRDefault="00206423" w:rsidP="00206423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206423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Ростекс</w:t>
            </w:r>
            <w:proofErr w:type="spellEnd"/>
            <w:r w:rsidRPr="00206423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противокоррозионная грунтовка</w:t>
            </w:r>
          </w:p>
        </w:tc>
        <w:tc>
          <w:tcPr>
            <w:tcW w:w="0" w:type="auto"/>
            <w:vMerge w:val="restart"/>
            <w:hideMark/>
          </w:tcPr>
          <w:p w:rsidR="00206423" w:rsidRPr="00206423" w:rsidRDefault="00206423" w:rsidP="002064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Ростекс противокоррозионная грунтовка">
                    <a:hlinkClick xmlns:a="http://schemas.openxmlformats.org/drawingml/2006/main" r:id="rId4" tooltip="&quot;Ростекс противокоррозионная грунтовка (jpg) (39.7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остекс противокоррозионная грунтовка">
                            <a:hlinkClick r:id="rId4" tooltip="&quot;Ростекс противокоррозионная грунтовка (jpg) (39.7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6423" w:rsidRPr="00206423" w:rsidRDefault="00206423" w:rsidP="002064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Ростекс противокоррозионная грунтовка (jpg) (39.7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Ростекс противокоррозионная грунтовка (jpg) (39.7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Ростекс противокоррозионная грунтовка (jpg) (39.7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206423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206423" w:rsidRPr="00206423" w:rsidTr="00206423">
        <w:trPr>
          <w:tblCellSpacing w:w="15" w:type="dxa"/>
          <w:jc w:val="center"/>
        </w:trPr>
        <w:tc>
          <w:tcPr>
            <w:tcW w:w="0" w:type="auto"/>
            <w:hideMark/>
          </w:tcPr>
          <w:p w:rsidR="00206423" w:rsidRPr="00206423" w:rsidRDefault="00206423" w:rsidP="002064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06423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206423" w:rsidRPr="00206423" w:rsidRDefault="00206423" w:rsidP="002064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 xml:space="preserve">Антикоррозионная грунтовка с </w:t>
            </w:r>
            <w:proofErr w:type="spellStart"/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содержаением</w:t>
            </w:r>
            <w:proofErr w:type="spellEnd"/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алкида</w:t>
            </w:r>
            <w:proofErr w:type="spellEnd"/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масла. Не содержит пигментов свинца и хроматов.</w:t>
            </w:r>
          </w:p>
        </w:tc>
        <w:tc>
          <w:tcPr>
            <w:tcW w:w="0" w:type="auto"/>
            <w:vMerge/>
            <w:vAlign w:val="center"/>
            <w:hideMark/>
          </w:tcPr>
          <w:p w:rsidR="00206423" w:rsidRPr="00206423" w:rsidRDefault="00206423" w:rsidP="0020642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06423" w:rsidRPr="00206423" w:rsidTr="00206423">
        <w:trPr>
          <w:tblCellSpacing w:w="15" w:type="dxa"/>
          <w:jc w:val="center"/>
        </w:trPr>
        <w:tc>
          <w:tcPr>
            <w:tcW w:w="0" w:type="auto"/>
            <w:hideMark/>
          </w:tcPr>
          <w:p w:rsidR="00206423" w:rsidRPr="00206423" w:rsidRDefault="00206423" w:rsidP="002064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06423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206423" w:rsidRPr="00206423" w:rsidRDefault="00206423" w:rsidP="002064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Предназначена</w:t>
            </w:r>
            <w:proofErr w:type="gramEnd"/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грунтовки, в особенности, стальных поверхностей. </w:t>
            </w:r>
            <w:proofErr w:type="gramStart"/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Применима</w:t>
            </w:r>
            <w:proofErr w:type="gramEnd"/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 xml:space="preserve"> также для грунтовки ошкуренных алюминиевых поверхностей.</w:t>
            </w:r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br/>
              <w:t>"</w:t>
            </w:r>
            <w:proofErr w:type="spellStart"/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Ростекс</w:t>
            </w:r>
            <w:proofErr w:type="spellEnd"/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" защищает поверхность и создает надежную и стойкую подложку для последующей окраски.</w:t>
            </w:r>
          </w:p>
        </w:tc>
        <w:tc>
          <w:tcPr>
            <w:tcW w:w="0" w:type="auto"/>
            <w:vMerge/>
            <w:vAlign w:val="center"/>
            <w:hideMark/>
          </w:tcPr>
          <w:p w:rsidR="00206423" w:rsidRPr="00206423" w:rsidRDefault="00206423" w:rsidP="0020642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06423" w:rsidRPr="00206423" w:rsidTr="00206423">
        <w:trPr>
          <w:tblCellSpacing w:w="15" w:type="dxa"/>
          <w:jc w:val="center"/>
        </w:trPr>
        <w:tc>
          <w:tcPr>
            <w:tcW w:w="0" w:type="auto"/>
            <w:hideMark/>
          </w:tcPr>
          <w:p w:rsidR="00206423" w:rsidRPr="00206423" w:rsidRDefault="00206423" w:rsidP="002064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06423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206423" w:rsidRPr="00206423" w:rsidRDefault="00206423" w:rsidP="002064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Применяется для грунтовки стальных конструкций, силосов, противопожарных дверей, пожарных лестниц, радиаторов отопления, перил, флагштоков, вентиляционных и водосточных труб, лодок и т.п. поверхностей внутри и снаружи зданий.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206423" w:rsidRPr="00206423" w:rsidRDefault="00206423" w:rsidP="0020642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06423" w:rsidRPr="00206423" w:rsidTr="00206423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206423" w:rsidRPr="00206423" w:rsidRDefault="00206423" w:rsidP="002064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206423" w:rsidRPr="00206423" w:rsidTr="00206423">
        <w:trPr>
          <w:tblCellSpacing w:w="15" w:type="dxa"/>
          <w:jc w:val="center"/>
        </w:trPr>
        <w:tc>
          <w:tcPr>
            <w:tcW w:w="0" w:type="auto"/>
            <w:hideMark/>
          </w:tcPr>
          <w:p w:rsidR="00206423" w:rsidRPr="00206423" w:rsidRDefault="00206423" w:rsidP="002064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06423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206423" w:rsidRPr="00206423" w:rsidRDefault="00206423" w:rsidP="0020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06423" w:rsidRPr="00206423" w:rsidRDefault="00206423" w:rsidP="0020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423" w:rsidRPr="00206423" w:rsidTr="00206423">
        <w:trPr>
          <w:tblCellSpacing w:w="15" w:type="dxa"/>
          <w:jc w:val="center"/>
        </w:trPr>
        <w:tc>
          <w:tcPr>
            <w:tcW w:w="0" w:type="auto"/>
            <w:hideMark/>
          </w:tcPr>
          <w:p w:rsidR="00206423" w:rsidRPr="00206423" w:rsidRDefault="00206423" w:rsidP="002064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206423" w:rsidRPr="00206423" w:rsidRDefault="00206423" w:rsidP="002064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6325" cy="419100"/>
                  <wp:effectExtent l="19050" t="0" r="9525" b="0"/>
                  <wp:docPr id="4" name="Рисунок 4" descr="Матов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Матов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5" name="Рисунок 5" descr="Орган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рган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6" name="Рисунок 6" descr="Наносить распыление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Наносить распыление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Наносить кистью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Наносить кистью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6423" w:rsidRPr="00206423" w:rsidRDefault="00206423" w:rsidP="002064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8" name="Рисунок 8" descr="Расход на шероховат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асход на шероховат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6423" w:rsidRPr="00206423" w:rsidRDefault="00206423" w:rsidP="00206423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206423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10</w:t>
            </w:r>
          </w:p>
          <w:p w:rsidR="00206423" w:rsidRPr="00206423" w:rsidRDefault="00206423" w:rsidP="002064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9" name="Рисунок 9" descr="Расход на гладк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Расход на гладк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6423" w:rsidRPr="00206423" w:rsidRDefault="00206423" w:rsidP="00206423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206423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12</w:t>
            </w:r>
          </w:p>
        </w:tc>
      </w:tr>
      <w:tr w:rsidR="00206423" w:rsidRPr="00206423" w:rsidTr="00206423">
        <w:trPr>
          <w:tblCellSpacing w:w="15" w:type="dxa"/>
          <w:jc w:val="center"/>
        </w:trPr>
        <w:tc>
          <w:tcPr>
            <w:tcW w:w="0" w:type="auto"/>
            <w:hideMark/>
          </w:tcPr>
          <w:p w:rsidR="00206423" w:rsidRPr="00206423" w:rsidRDefault="00206423" w:rsidP="002064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206423" w:rsidRPr="00206423" w:rsidRDefault="00206423" w:rsidP="002064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Серый.</w:t>
            </w:r>
          </w:p>
        </w:tc>
      </w:tr>
      <w:tr w:rsidR="00206423" w:rsidRPr="00206423" w:rsidTr="00206423">
        <w:trPr>
          <w:tblCellSpacing w:w="15" w:type="dxa"/>
          <w:jc w:val="center"/>
        </w:trPr>
        <w:tc>
          <w:tcPr>
            <w:tcW w:w="0" w:type="auto"/>
            <w:hideMark/>
          </w:tcPr>
          <w:p w:rsidR="00206423" w:rsidRPr="00206423" w:rsidRDefault="00206423" w:rsidP="002064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Степень блеска</w:t>
            </w:r>
          </w:p>
        </w:tc>
        <w:tc>
          <w:tcPr>
            <w:tcW w:w="0" w:type="auto"/>
            <w:gridSpan w:val="2"/>
            <w:hideMark/>
          </w:tcPr>
          <w:p w:rsidR="00206423" w:rsidRPr="00206423" w:rsidRDefault="00206423" w:rsidP="002064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Матовая</w:t>
            </w:r>
          </w:p>
        </w:tc>
      </w:tr>
      <w:tr w:rsidR="00206423" w:rsidRPr="00206423" w:rsidTr="00206423">
        <w:trPr>
          <w:tblCellSpacing w:w="15" w:type="dxa"/>
          <w:jc w:val="center"/>
        </w:trPr>
        <w:tc>
          <w:tcPr>
            <w:tcW w:w="0" w:type="auto"/>
            <w:hideMark/>
          </w:tcPr>
          <w:p w:rsidR="00206423" w:rsidRPr="00206423" w:rsidRDefault="00206423" w:rsidP="002064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206423" w:rsidRPr="00206423" w:rsidRDefault="00206423" w:rsidP="002064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10-12 м²/л.</w:t>
            </w:r>
          </w:p>
        </w:tc>
      </w:tr>
      <w:tr w:rsidR="00206423" w:rsidRPr="00206423" w:rsidTr="00206423">
        <w:trPr>
          <w:tblCellSpacing w:w="15" w:type="dxa"/>
          <w:jc w:val="center"/>
        </w:trPr>
        <w:tc>
          <w:tcPr>
            <w:tcW w:w="0" w:type="auto"/>
            <w:hideMark/>
          </w:tcPr>
          <w:p w:rsidR="00206423" w:rsidRPr="00206423" w:rsidRDefault="00206423" w:rsidP="002064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206423" w:rsidRPr="00206423" w:rsidRDefault="00206423" w:rsidP="002064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1/3 л, 1 л, 3 л, 10 л.</w:t>
            </w:r>
          </w:p>
        </w:tc>
      </w:tr>
      <w:tr w:rsidR="00206423" w:rsidRPr="00206423" w:rsidTr="00206423">
        <w:trPr>
          <w:tblCellSpacing w:w="15" w:type="dxa"/>
          <w:jc w:val="center"/>
        </w:trPr>
        <w:tc>
          <w:tcPr>
            <w:tcW w:w="0" w:type="auto"/>
            <w:hideMark/>
          </w:tcPr>
          <w:p w:rsidR="00206423" w:rsidRPr="00206423" w:rsidRDefault="00206423" w:rsidP="002064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206423" w:rsidRPr="00206423" w:rsidRDefault="00206423" w:rsidP="002064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Уайт-спирит 1050</w:t>
            </w:r>
          </w:p>
        </w:tc>
      </w:tr>
      <w:tr w:rsidR="00206423" w:rsidRPr="00206423" w:rsidTr="00206423">
        <w:trPr>
          <w:tblCellSpacing w:w="15" w:type="dxa"/>
          <w:jc w:val="center"/>
        </w:trPr>
        <w:tc>
          <w:tcPr>
            <w:tcW w:w="0" w:type="auto"/>
            <w:hideMark/>
          </w:tcPr>
          <w:p w:rsidR="00206423" w:rsidRPr="00206423" w:rsidRDefault="00206423" w:rsidP="002064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206423" w:rsidRPr="00206423" w:rsidRDefault="00206423" w:rsidP="002064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Наносится кистью или распылением.</w:t>
            </w:r>
          </w:p>
        </w:tc>
      </w:tr>
      <w:tr w:rsidR="00206423" w:rsidRPr="00206423" w:rsidTr="00206423">
        <w:trPr>
          <w:tblCellSpacing w:w="15" w:type="dxa"/>
          <w:jc w:val="center"/>
        </w:trPr>
        <w:tc>
          <w:tcPr>
            <w:tcW w:w="0" w:type="auto"/>
            <w:hideMark/>
          </w:tcPr>
          <w:p w:rsidR="00206423" w:rsidRPr="00206423" w:rsidRDefault="00206423" w:rsidP="002064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206423" w:rsidRPr="00206423" w:rsidRDefault="00206423" w:rsidP="002064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От пыли – 2 часа.</w:t>
            </w:r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br/>
              <w:t>Следующий слой можно нанести через сутки.</w:t>
            </w:r>
          </w:p>
        </w:tc>
      </w:tr>
      <w:tr w:rsidR="00206423" w:rsidRPr="00206423" w:rsidTr="00206423">
        <w:trPr>
          <w:tblCellSpacing w:w="15" w:type="dxa"/>
          <w:jc w:val="center"/>
        </w:trPr>
        <w:tc>
          <w:tcPr>
            <w:tcW w:w="0" w:type="auto"/>
            <w:hideMark/>
          </w:tcPr>
          <w:p w:rsidR="00206423" w:rsidRPr="00206423" w:rsidRDefault="00206423" w:rsidP="002064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Стойкость к химикатам</w:t>
            </w:r>
          </w:p>
        </w:tc>
        <w:tc>
          <w:tcPr>
            <w:tcW w:w="0" w:type="auto"/>
            <w:gridSpan w:val="2"/>
            <w:hideMark/>
          </w:tcPr>
          <w:p w:rsidR="00206423" w:rsidRPr="00206423" w:rsidRDefault="00206423" w:rsidP="002064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 xml:space="preserve">Выдерживает </w:t>
            </w:r>
            <w:proofErr w:type="spellStart"/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уайт-спирит</w:t>
            </w:r>
            <w:proofErr w:type="spellEnd"/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хозяйственный спирт. </w:t>
            </w:r>
            <w:proofErr w:type="gramStart"/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Неустойчива</w:t>
            </w:r>
            <w:proofErr w:type="gramEnd"/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 xml:space="preserve"> к сильным растворителям, например к </w:t>
            </w:r>
            <w:proofErr w:type="spellStart"/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нитрорастворителям</w:t>
            </w:r>
            <w:proofErr w:type="spellEnd"/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</w:tr>
      <w:tr w:rsidR="00206423" w:rsidRPr="00206423" w:rsidTr="00206423">
        <w:trPr>
          <w:tblCellSpacing w:w="15" w:type="dxa"/>
          <w:jc w:val="center"/>
        </w:trPr>
        <w:tc>
          <w:tcPr>
            <w:tcW w:w="0" w:type="auto"/>
            <w:hideMark/>
          </w:tcPr>
          <w:p w:rsidR="00206423" w:rsidRPr="00206423" w:rsidRDefault="00206423" w:rsidP="002064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Масл</w:t>
            </w:r>
            <w:proofErr w:type="gramStart"/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о-</w:t>
            </w:r>
            <w:proofErr w:type="gramEnd"/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</w:t>
            </w:r>
            <w:proofErr w:type="spellStart"/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жиростойкость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206423" w:rsidRPr="00206423" w:rsidRDefault="00206423" w:rsidP="002064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Хорошая.</w:t>
            </w:r>
          </w:p>
        </w:tc>
      </w:tr>
      <w:tr w:rsidR="00206423" w:rsidRPr="00206423" w:rsidTr="00206423">
        <w:trPr>
          <w:tblCellSpacing w:w="15" w:type="dxa"/>
          <w:jc w:val="center"/>
        </w:trPr>
        <w:tc>
          <w:tcPr>
            <w:tcW w:w="0" w:type="auto"/>
            <w:hideMark/>
          </w:tcPr>
          <w:p w:rsidR="00206423" w:rsidRPr="00206423" w:rsidRDefault="00206423" w:rsidP="002064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Износостойкость</w:t>
            </w:r>
          </w:p>
        </w:tc>
        <w:tc>
          <w:tcPr>
            <w:tcW w:w="0" w:type="auto"/>
            <w:gridSpan w:val="2"/>
            <w:hideMark/>
          </w:tcPr>
          <w:p w:rsidR="00206423" w:rsidRPr="00206423" w:rsidRDefault="00206423" w:rsidP="002064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Хорошая.</w:t>
            </w:r>
          </w:p>
        </w:tc>
      </w:tr>
      <w:tr w:rsidR="00206423" w:rsidRPr="00206423" w:rsidTr="00206423">
        <w:trPr>
          <w:tblCellSpacing w:w="15" w:type="dxa"/>
          <w:jc w:val="center"/>
        </w:trPr>
        <w:tc>
          <w:tcPr>
            <w:tcW w:w="0" w:type="auto"/>
            <w:hideMark/>
          </w:tcPr>
          <w:p w:rsidR="00206423" w:rsidRPr="00206423" w:rsidRDefault="00206423" w:rsidP="002064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206423" w:rsidRPr="00206423" w:rsidRDefault="00206423" w:rsidP="002064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55%.</w:t>
            </w:r>
          </w:p>
        </w:tc>
      </w:tr>
      <w:tr w:rsidR="00206423" w:rsidRPr="00206423" w:rsidTr="00206423">
        <w:trPr>
          <w:tblCellSpacing w:w="15" w:type="dxa"/>
          <w:jc w:val="center"/>
        </w:trPr>
        <w:tc>
          <w:tcPr>
            <w:tcW w:w="0" w:type="auto"/>
            <w:hideMark/>
          </w:tcPr>
          <w:p w:rsidR="00206423" w:rsidRPr="00206423" w:rsidRDefault="00206423" w:rsidP="002064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206423" w:rsidRPr="00206423" w:rsidRDefault="00206423" w:rsidP="002064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. 1,4 кг/л.</w:t>
            </w:r>
          </w:p>
        </w:tc>
      </w:tr>
      <w:tr w:rsidR="00206423" w:rsidRPr="00206423" w:rsidTr="00206423">
        <w:trPr>
          <w:tblCellSpacing w:w="15" w:type="dxa"/>
          <w:jc w:val="center"/>
        </w:trPr>
        <w:tc>
          <w:tcPr>
            <w:tcW w:w="0" w:type="auto"/>
            <w:hideMark/>
          </w:tcPr>
          <w:p w:rsidR="00206423" w:rsidRPr="00206423" w:rsidRDefault="00206423" w:rsidP="002064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206423" w:rsidRPr="00206423" w:rsidRDefault="00206423" w:rsidP="002064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Выдерживает транспортировку и хранение при низких температурах.</w:t>
            </w:r>
          </w:p>
        </w:tc>
      </w:tr>
      <w:tr w:rsidR="00206423" w:rsidRPr="00206423" w:rsidTr="00206423">
        <w:trPr>
          <w:tblCellSpacing w:w="15" w:type="dxa"/>
          <w:jc w:val="center"/>
        </w:trPr>
        <w:tc>
          <w:tcPr>
            <w:tcW w:w="0" w:type="auto"/>
            <w:hideMark/>
          </w:tcPr>
          <w:p w:rsidR="00206423" w:rsidRPr="00206423" w:rsidRDefault="00206423" w:rsidP="002064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206423" w:rsidRPr="00206423" w:rsidRDefault="00206423" w:rsidP="002064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006 7550, -7553</w:t>
            </w:r>
          </w:p>
        </w:tc>
      </w:tr>
      <w:tr w:rsidR="00206423" w:rsidRPr="00206423" w:rsidTr="00206423">
        <w:trPr>
          <w:tblCellSpacing w:w="15" w:type="dxa"/>
          <w:jc w:val="center"/>
        </w:trPr>
        <w:tc>
          <w:tcPr>
            <w:tcW w:w="0" w:type="auto"/>
            <w:hideMark/>
          </w:tcPr>
          <w:p w:rsidR="00206423" w:rsidRPr="00206423" w:rsidRDefault="00206423" w:rsidP="002064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Сертификат соответствия</w:t>
            </w:r>
          </w:p>
        </w:tc>
        <w:tc>
          <w:tcPr>
            <w:tcW w:w="0" w:type="auto"/>
            <w:gridSpan w:val="2"/>
            <w:hideMark/>
          </w:tcPr>
          <w:p w:rsidR="00206423" w:rsidRPr="00206423" w:rsidRDefault="00206423" w:rsidP="002064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4" w:tgtFrame="_blank" w:tooltip="Декларация о соответствии (pdf) (183.5 KB)" w:history="1">
              <w:r w:rsidRPr="00206423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Декларация о соответствии</w:t>
              </w:r>
            </w:hyperlink>
          </w:p>
        </w:tc>
      </w:tr>
      <w:tr w:rsidR="00206423" w:rsidRPr="00206423" w:rsidTr="00206423">
        <w:trPr>
          <w:tblCellSpacing w:w="15" w:type="dxa"/>
          <w:jc w:val="center"/>
        </w:trPr>
        <w:tc>
          <w:tcPr>
            <w:tcW w:w="0" w:type="auto"/>
            <w:hideMark/>
          </w:tcPr>
          <w:p w:rsidR="00206423" w:rsidRPr="00206423" w:rsidRDefault="00206423" w:rsidP="002064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206423" w:rsidRPr="00206423" w:rsidRDefault="00206423" w:rsidP="002064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5" w:tgtFrame="_blank" w:tooltip="Свидетельство о государственной регистрации (pdf) (288.3 KB)" w:history="1">
              <w:r w:rsidRPr="00206423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206423" w:rsidRPr="00206423" w:rsidTr="00206423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206423" w:rsidRPr="00206423" w:rsidRDefault="00206423" w:rsidP="002064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206423" w:rsidRPr="00206423" w:rsidTr="00206423">
        <w:trPr>
          <w:tblCellSpacing w:w="15" w:type="dxa"/>
          <w:jc w:val="center"/>
        </w:trPr>
        <w:tc>
          <w:tcPr>
            <w:tcW w:w="0" w:type="auto"/>
            <w:hideMark/>
          </w:tcPr>
          <w:p w:rsidR="00206423" w:rsidRPr="00206423" w:rsidRDefault="00206423" w:rsidP="002064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06423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206423" w:rsidRPr="00206423" w:rsidRDefault="00206423" w:rsidP="0020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06423" w:rsidRPr="00206423" w:rsidRDefault="00206423" w:rsidP="002064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6423" w:rsidRPr="00206423" w:rsidTr="00206423">
        <w:trPr>
          <w:tblCellSpacing w:w="15" w:type="dxa"/>
          <w:jc w:val="center"/>
        </w:trPr>
        <w:tc>
          <w:tcPr>
            <w:tcW w:w="0" w:type="auto"/>
            <w:hideMark/>
          </w:tcPr>
          <w:p w:rsidR="00206423" w:rsidRPr="00206423" w:rsidRDefault="00206423" w:rsidP="002064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206423" w:rsidRPr="00206423" w:rsidRDefault="00206423" w:rsidP="002064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Обрабатываемая поверхность должна быть сухой. Температура должна быть не ниже +5</w:t>
            </w:r>
            <w:proofErr w:type="gramStart"/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 xml:space="preserve"> ºС</w:t>
            </w:r>
            <w:proofErr w:type="gramEnd"/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относительная влажность воздуха – не выше 80 %. Во избежание слишком быстрого испарения растворителя, образования пор, ухудшении адгезии, появлении </w:t>
            </w:r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пузырьков и т.д. температура поверхности не должна превышать +35ºС.</w:t>
            </w:r>
          </w:p>
        </w:tc>
      </w:tr>
      <w:tr w:rsidR="00206423" w:rsidRPr="00206423" w:rsidTr="00206423">
        <w:trPr>
          <w:tblCellSpacing w:w="15" w:type="dxa"/>
          <w:jc w:val="center"/>
        </w:trPr>
        <w:tc>
          <w:tcPr>
            <w:tcW w:w="0" w:type="auto"/>
            <w:hideMark/>
          </w:tcPr>
          <w:p w:rsidR="00206423" w:rsidRPr="00206423" w:rsidRDefault="00206423" w:rsidP="002064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206423" w:rsidRPr="00206423" w:rsidRDefault="00206423" w:rsidP="002064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Неокрашенная поверхность: </w:t>
            </w:r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Обезжирить и очистить поверхность от грязи, </w:t>
            </w:r>
            <w:proofErr w:type="spellStart"/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водорастворимых</w:t>
            </w:r>
            <w:proofErr w:type="spellEnd"/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 xml:space="preserve"> солей, масла и жира моющим средством "</w:t>
            </w:r>
            <w:proofErr w:type="spellStart"/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Панссарипесу</w:t>
            </w:r>
            <w:proofErr w:type="spellEnd"/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 xml:space="preserve">". Тщательно промыть чистой водой и дать просохнуть. Возможную белую ржавчину удалить шлифовкой или стальной щеткой (степень очистки – </w:t>
            </w:r>
            <w:proofErr w:type="spellStart"/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St</w:t>
            </w:r>
            <w:proofErr w:type="spellEnd"/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 xml:space="preserve"> 2). </w:t>
            </w:r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Окрашенная поверхность: </w:t>
            </w:r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Окрашенную поверхность тщательно очистить от старой краски и ржавчины скребком и щеткой (степень очистки – </w:t>
            </w:r>
            <w:proofErr w:type="spellStart"/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St</w:t>
            </w:r>
            <w:proofErr w:type="spellEnd"/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 xml:space="preserve"> 2). Вымыть поверхность моющим средством "</w:t>
            </w:r>
            <w:proofErr w:type="spellStart"/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Панссарипесу</w:t>
            </w:r>
            <w:proofErr w:type="spellEnd"/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", затем тщательно промыть водой и дать просохнуть.</w:t>
            </w:r>
          </w:p>
        </w:tc>
      </w:tr>
      <w:tr w:rsidR="00206423" w:rsidRPr="00206423" w:rsidTr="00206423">
        <w:trPr>
          <w:tblCellSpacing w:w="15" w:type="dxa"/>
          <w:jc w:val="center"/>
        </w:trPr>
        <w:tc>
          <w:tcPr>
            <w:tcW w:w="0" w:type="auto"/>
            <w:hideMark/>
          </w:tcPr>
          <w:p w:rsidR="00206423" w:rsidRPr="00206423" w:rsidRDefault="00206423" w:rsidP="002064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Грунтование</w:t>
            </w:r>
          </w:p>
        </w:tc>
        <w:tc>
          <w:tcPr>
            <w:tcW w:w="0" w:type="auto"/>
            <w:gridSpan w:val="2"/>
            <w:hideMark/>
          </w:tcPr>
          <w:p w:rsidR="00206423" w:rsidRPr="00206423" w:rsidRDefault="00206423" w:rsidP="002064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 xml:space="preserve">Перед применением грунтовку тщательно перемешать. Перед нанесением кистью грунтовка обычно не разбавляется. Для распыления под высоким давлением разбавить </w:t>
            </w:r>
            <w:proofErr w:type="spellStart"/>
            <w:proofErr w:type="gramStart"/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Уайт-спиритом</w:t>
            </w:r>
            <w:proofErr w:type="spellEnd"/>
            <w:proofErr w:type="gramEnd"/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 xml:space="preserve"> 1050 на 0-5 % по объему. </w:t>
            </w:r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br/>
              <w:t>В качестве покрывной краски для наружных работ можно применять, например, краски "</w:t>
            </w:r>
            <w:proofErr w:type="spellStart"/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Панссаримаали</w:t>
            </w:r>
            <w:proofErr w:type="spellEnd"/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", "</w:t>
            </w:r>
            <w:proofErr w:type="spellStart"/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Миранол</w:t>
            </w:r>
            <w:proofErr w:type="spellEnd"/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", "Уника", "</w:t>
            </w:r>
            <w:proofErr w:type="spellStart"/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Панссари</w:t>
            </w:r>
            <w:proofErr w:type="spellEnd"/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Аква</w:t>
            </w:r>
            <w:proofErr w:type="spellEnd"/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", "</w:t>
            </w:r>
            <w:proofErr w:type="spellStart"/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Техо</w:t>
            </w:r>
            <w:proofErr w:type="spellEnd"/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", "</w:t>
            </w:r>
            <w:proofErr w:type="spellStart"/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Пика-Техо</w:t>
            </w:r>
            <w:proofErr w:type="spellEnd"/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" или "Ультра", а для внутренних работ – "</w:t>
            </w:r>
            <w:proofErr w:type="spellStart"/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Эмпире</w:t>
            </w:r>
            <w:proofErr w:type="spellEnd"/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", "</w:t>
            </w:r>
            <w:proofErr w:type="spellStart"/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Миранол</w:t>
            </w:r>
            <w:proofErr w:type="spellEnd"/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" или латексные краски.</w:t>
            </w:r>
          </w:p>
        </w:tc>
      </w:tr>
      <w:tr w:rsidR="00206423" w:rsidRPr="00206423" w:rsidTr="00206423">
        <w:trPr>
          <w:tblCellSpacing w:w="15" w:type="dxa"/>
          <w:jc w:val="center"/>
        </w:trPr>
        <w:tc>
          <w:tcPr>
            <w:tcW w:w="0" w:type="auto"/>
            <w:hideMark/>
          </w:tcPr>
          <w:p w:rsidR="00206423" w:rsidRPr="00206423" w:rsidRDefault="00206423" w:rsidP="002064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206423" w:rsidRPr="00206423" w:rsidRDefault="00206423" w:rsidP="002064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 xml:space="preserve">Рабочие инструменты промыть </w:t>
            </w:r>
            <w:proofErr w:type="spellStart"/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уайт-спиритом</w:t>
            </w:r>
            <w:proofErr w:type="spellEnd"/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 xml:space="preserve"> или моющим средством "</w:t>
            </w:r>
            <w:proofErr w:type="spellStart"/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Пенсселипесу</w:t>
            </w:r>
            <w:proofErr w:type="spellEnd"/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206423" w:rsidRPr="00206423" w:rsidTr="00206423">
        <w:trPr>
          <w:tblCellSpacing w:w="15" w:type="dxa"/>
          <w:jc w:val="center"/>
        </w:trPr>
        <w:tc>
          <w:tcPr>
            <w:tcW w:w="0" w:type="auto"/>
            <w:hideMark/>
          </w:tcPr>
          <w:p w:rsidR="00206423" w:rsidRPr="00206423" w:rsidRDefault="00206423" w:rsidP="002064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Уход</w:t>
            </w:r>
          </w:p>
        </w:tc>
        <w:tc>
          <w:tcPr>
            <w:tcW w:w="0" w:type="auto"/>
            <w:gridSpan w:val="2"/>
            <w:hideMark/>
          </w:tcPr>
          <w:p w:rsidR="00206423" w:rsidRPr="00206423" w:rsidRDefault="00206423" w:rsidP="002064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 xml:space="preserve">Окрашенную поверхность очищать осторожно, помня, что в нормальных условиях она достигает своей окончательной износостойкости и твердости только через месяц после окраски. Если придется очищать поверхность ранее, чем через четыре недели, рекомендуется легкая очистка мягкой щеткой или влажной тканью. </w:t>
            </w:r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br/>
              <w:t>Окрашенную поверхность можно мыть средством "</w:t>
            </w:r>
            <w:proofErr w:type="spellStart"/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Хуолтопесу</w:t>
            </w:r>
            <w:proofErr w:type="spellEnd"/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" (1 часть "</w:t>
            </w:r>
            <w:proofErr w:type="spellStart"/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Хуолтопесу</w:t>
            </w:r>
            <w:proofErr w:type="spellEnd"/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"</w:t>
            </w:r>
            <w:proofErr w:type="gramStart"/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 xml:space="preserve"> :</w:t>
            </w:r>
            <w:proofErr w:type="gramEnd"/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 xml:space="preserve"> 10 частей воды) не ранее чем через месяц после окраски. Особенно загрязненные поверхности можно очищать сильным раствором (1:1). Тщательно промыть поверхность чистой водой. Дать поверхности высохнуть.</w:t>
            </w:r>
          </w:p>
        </w:tc>
      </w:tr>
      <w:tr w:rsidR="00206423" w:rsidRPr="00206423" w:rsidTr="00206423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206423" w:rsidRPr="00206423" w:rsidRDefault="00206423" w:rsidP="002064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206423" w:rsidRPr="00206423" w:rsidTr="00206423">
        <w:trPr>
          <w:tblCellSpacing w:w="15" w:type="dxa"/>
          <w:jc w:val="center"/>
        </w:trPr>
        <w:tc>
          <w:tcPr>
            <w:tcW w:w="0" w:type="auto"/>
            <w:hideMark/>
          </w:tcPr>
          <w:p w:rsidR="00206423" w:rsidRPr="00206423" w:rsidRDefault="00206423" w:rsidP="002064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06423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206423" w:rsidRPr="00206423" w:rsidRDefault="00206423" w:rsidP="002064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Вредный </w:t>
            </w:r>
            <w:proofErr w:type="spellStart"/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Вредный</w:t>
            </w:r>
            <w:proofErr w:type="spellEnd"/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окружающей среды</w:t>
            </w:r>
            <w:proofErr w:type="gramStart"/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 xml:space="preserve"> С</w:t>
            </w:r>
            <w:proofErr w:type="gramEnd"/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 xml:space="preserve">одержит алифатический </w:t>
            </w:r>
            <w:proofErr w:type="spellStart"/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уайт-спирит</w:t>
            </w:r>
            <w:proofErr w:type="spellEnd"/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 xml:space="preserve">, метаборат бария, фосфат цинка ОГНЕОПАСНЫЙ. </w:t>
            </w:r>
            <w:proofErr w:type="gramStart"/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ВРЕДЕН</w:t>
            </w:r>
            <w:proofErr w:type="gramEnd"/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ЗДОРОВЬЯ ПРИ ВДЫХАНИИ И ПОПАДАНИИ ВОВНУТРЬ. ТОКСИЧЕН ДЛЯ ВОДНЫХ ОРГАНИЗМОВ, МОЖЕТ НАНЕСТИ ДОЛГОВРЕМЕННЫЙ ВРЕД ВОДНОЙ СРЕДЕ. Избегать вдыхания паров растворителей и тумана от распыления. Обеспечить эффективную вентиляцию. При попадании вовнутрь немедленно обратиться к врачу и показать данную этикетку или упаковку. Не сливать в канализацию. Хранить в недоступном для детей месте. Содержит </w:t>
            </w:r>
            <w:proofErr w:type="spellStart"/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этилметилкетоксим</w:t>
            </w:r>
            <w:proofErr w:type="spellEnd"/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 xml:space="preserve">. Может вызвать аллергическую реакцию. На продукт имеется паспорт техники </w:t>
            </w:r>
            <w:proofErr w:type="spellStart"/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безопсности.</w:t>
            </w:r>
            <w:hyperlink r:id="rId16" w:tgtFrame="_blank" w:tooltip="Паспорт техники безопасности (pdf) (262.7 KB)" w:history="1">
              <w:r w:rsidRPr="00206423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206423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206423" w:rsidRPr="00206423" w:rsidTr="00206423">
        <w:trPr>
          <w:tblCellSpacing w:w="15" w:type="dxa"/>
          <w:jc w:val="center"/>
        </w:trPr>
        <w:tc>
          <w:tcPr>
            <w:tcW w:w="0" w:type="auto"/>
            <w:hideMark/>
          </w:tcPr>
          <w:p w:rsidR="00206423" w:rsidRPr="00206423" w:rsidRDefault="00206423" w:rsidP="002064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38150" cy="438150"/>
                  <wp:effectExtent l="19050" t="0" r="0" b="0"/>
                  <wp:docPr id="12" name="Рисунок 12" descr="Вред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Вред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proofErr w:type="gramStart"/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Вредный</w:t>
            </w:r>
            <w:proofErr w:type="gramEnd"/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38150" cy="438150"/>
                  <wp:effectExtent l="19050" t="0" r="0" b="0"/>
                  <wp:docPr id="13" name="Рисунок 13" descr="Опасный для окружающей сред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Опасный для окружающей сред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br/>
              <w:t>Опасный для окружающей среды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06423" w:rsidRPr="00206423" w:rsidRDefault="00206423" w:rsidP="0020642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206423" w:rsidRPr="00206423" w:rsidTr="00206423">
        <w:trPr>
          <w:tblCellSpacing w:w="15" w:type="dxa"/>
          <w:jc w:val="center"/>
        </w:trPr>
        <w:tc>
          <w:tcPr>
            <w:tcW w:w="0" w:type="auto"/>
            <w:hideMark/>
          </w:tcPr>
          <w:p w:rsidR="00206423" w:rsidRPr="00206423" w:rsidRDefault="00206423" w:rsidP="002064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06423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206423" w:rsidRPr="00206423" w:rsidRDefault="00206423" w:rsidP="002064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 выливать в канализацию, водоем или на почву. Жидкие остатки передать </w:t>
            </w:r>
            <w:proofErr w:type="gramStart"/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выбросить на свалку – соблюдать местное законодательство. </w:t>
            </w:r>
          </w:p>
        </w:tc>
      </w:tr>
      <w:tr w:rsidR="00206423" w:rsidRPr="00206423" w:rsidTr="00206423">
        <w:trPr>
          <w:tblCellSpacing w:w="15" w:type="dxa"/>
          <w:jc w:val="center"/>
        </w:trPr>
        <w:tc>
          <w:tcPr>
            <w:tcW w:w="0" w:type="auto"/>
            <w:hideMark/>
          </w:tcPr>
          <w:p w:rsidR="00206423" w:rsidRPr="00206423" w:rsidRDefault="00206423" w:rsidP="002064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06423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206423" w:rsidRPr="00206423" w:rsidRDefault="00206423" w:rsidP="0020642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06423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</w:tbl>
    <w:p w:rsidR="00606745" w:rsidRDefault="00606745"/>
    <w:sectPr w:rsidR="00606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423"/>
    <w:rsid w:val="00206423"/>
    <w:rsid w:val="0060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642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06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4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78755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652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2570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47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00989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538075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2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image" Target="media/image10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9.gif"/><Relationship Id="rId2" Type="http://schemas.openxmlformats.org/officeDocument/2006/relationships/settings" Target="settings.xml"/><Relationship Id="rId16" Type="http://schemas.openxmlformats.org/officeDocument/2006/relationships/hyperlink" Target="http://www.tikkurila.ru/files/2767/ROSTEX_006_7550-7553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ikkurila.ru/files/5006/Rostex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hyperlink" Target="http://www.tikkurila.ru/files/5030/Rostex.pdf" TargetMode="External"/><Relationship Id="rId10" Type="http://schemas.openxmlformats.org/officeDocument/2006/relationships/image" Target="media/image5.gif"/><Relationship Id="rId19" Type="http://schemas.openxmlformats.org/officeDocument/2006/relationships/fontTable" Target="fontTable.xml"/><Relationship Id="rId4" Type="http://schemas.openxmlformats.org/officeDocument/2006/relationships/hyperlink" Target="http://www.tikkurila.ru/files/5006/Rostex.jpg" TargetMode="External"/><Relationship Id="rId9" Type="http://schemas.openxmlformats.org/officeDocument/2006/relationships/image" Target="media/image4.gif"/><Relationship Id="rId14" Type="http://schemas.openxmlformats.org/officeDocument/2006/relationships/hyperlink" Target="http://www.tikkurila.ru/files/4328/dekl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4288</Characters>
  <Application>Microsoft Office Word</Application>
  <DocSecurity>0</DocSecurity>
  <Lines>35</Lines>
  <Paragraphs>10</Paragraphs>
  <ScaleCrop>false</ScaleCrop>
  <Company>ООО "БалтМостПроект"</Company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2012-07-09T09:32:00Z</dcterms:created>
  <dcterms:modified xsi:type="dcterms:W3CDTF">2012-07-09T09:33:00Z</dcterms:modified>
</cp:coreProperties>
</file>